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DC" w:rsidRDefault="00542C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2CDC" w:rsidRDefault="00542CDC">
      <w:pPr>
        <w:pStyle w:val="ConsPlusNormal"/>
        <w:jc w:val="both"/>
        <w:outlineLvl w:val="0"/>
      </w:pPr>
    </w:p>
    <w:p w:rsidR="00542CDC" w:rsidRDefault="00542CDC">
      <w:pPr>
        <w:pStyle w:val="ConsPlusNormal"/>
        <w:outlineLvl w:val="0"/>
      </w:pPr>
      <w:r>
        <w:t>Зарегистрировано в Минюсте России 3 февраля 2012 г. N 23130</w:t>
      </w:r>
    </w:p>
    <w:p w:rsidR="00542CDC" w:rsidRDefault="0054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CDC" w:rsidRDefault="00542CDC">
      <w:pPr>
        <w:pStyle w:val="ConsPlusNormal"/>
      </w:pPr>
    </w:p>
    <w:p w:rsidR="00542CDC" w:rsidRDefault="00542CD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42CDC" w:rsidRDefault="00542CDC">
      <w:pPr>
        <w:pStyle w:val="ConsPlusTitle"/>
        <w:jc w:val="center"/>
      </w:pPr>
    </w:p>
    <w:p w:rsidR="00542CDC" w:rsidRDefault="00542CDC">
      <w:pPr>
        <w:pStyle w:val="ConsPlusTitle"/>
        <w:jc w:val="center"/>
      </w:pPr>
      <w:r>
        <w:t>ФЕДЕРАЛЬНАЯ СЛУЖБА ГОСУДАРСТВЕННОЙ СТАТИСТИКИ</w:t>
      </w:r>
    </w:p>
    <w:p w:rsidR="00542CDC" w:rsidRDefault="00542CDC">
      <w:pPr>
        <w:pStyle w:val="ConsPlusTitle"/>
        <w:jc w:val="center"/>
      </w:pPr>
    </w:p>
    <w:p w:rsidR="00542CDC" w:rsidRDefault="00542CDC">
      <w:pPr>
        <w:pStyle w:val="ConsPlusTitle"/>
        <w:jc w:val="center"/>
      </w:pPr>
      <w:r>
        <w:t>ПРИКАЗ</w:t>
      </w:r>
    </w:p>
    <w:p w:rsidR="00542CDC" w:rsidRDefault="00542CDC">
      <w:pPr>
        <w:pStyle w:val="ConsPlusTitle"/>
        <w:jc w:val="center"/>
      </w:pPr>
      <w:r>
        <w:t>от 26 декабря 2011 г. N 507</w:t>
      </w:r>
    </w:p>
    <w:p w:rsidR="00542CDC" w:rsidRDefault="00542CDC">
      <w:pPr>
        <w:pStyle w:val="ConsPlusTitle"/>
        <w:jc w:val="center"/>
      </w:pPr>
    </w:p>
    <w:p w:rsidR="00542CDC" w:rsidRDefault="00542CDC">
      <w:pPr>
        <w:pStyle w:val="ConsPlusTitle"/>
        <w:jc w:val="center"/>
      </w:pPr>
      <w:r>
        <w:t>ОБ УТВЕРЖДЕНИИ ПОРЯДКА</w:t>
      </w:r>
    </w:p>
    <w:p w:rsidR="00542CDC" w:rsidRDefault="00542CD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42CDC" w:rsidRDefault="00542C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42CDC" w:rsidRDefault="00542CDC">
      <w:pPr>
        <w:pStyle w:val="ConsPlusTitle"/>
        <w:jc w:val="center"/>
      </w:pPr>
      <w:r>
        <w:t>ФЕДЕРАЛЬНОЙ СЛУЖБЫ ГОСУДАРСТВЕННОЙ СТАТИСТИКИ</w:t>
      </w:r>
    </w:p>
    <w:p w:rsidR="00542CDC" w:rsidRDefault="00542C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C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CDC" w:rsidRDefault="00542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CDC" w:rsidRDefault="00542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18.08.2015 N 377)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</w:tr>
    </w:tbl>
    <w:p w:rsidR="00542CDC" w:rsidRDefault="00542CDC">
      <w:pPr>
        <w:pStyle w:val="ConsPlusNormal"/>
        <w:jc w:val="center"/>
      </w:pPr>
    </w:p>
    <w:p w:rsidR="00542CDC" w:rsidRDefault="00542CDC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jc w:val="right"/>
      </w:pPr>
      <w:r>
        <w:t>Руководитель</w:t>
      </w:r>
    </w:p>
    <w:p w:rsidR="00542CDC" w:rsidRDefault="00542CDC">
      <w:pPr>
        <w:pStyle w:val="ConsPlusNormal"/>
        <w:jc w:val="right"/>
      </w:pPr>
      <w:r>
        <w:t>А.Е.СУРИНОВ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jc w:val="right"/>
        <w:outlineLvl w:val="0"/>
      </w:pPr>
      <w:r>
        <w:t>Утвержден</w:t>
      </w:r>
    </w:p>
    <w:p w:rsidR="00542CDC" w:rsidRDefault="00542CDC">
      <w:pPr>
        <w:pStyle w:val="ConsPlusNormal"/>
        <w:jc w:val="right"/>
      </w:pPr>
      <w:r>
        <w:t>приказом Росстата</w:t>
      </w:r>
    </w:p>
    <w:p w:rsidR="00542CDC" w:rsidRDefault="00542CDC">
      <w:pPr>
        <w:pStyle w:val="ConsPlusNormal"/>
        <w:jc w:val="right"/>
      </w:pPr>
      <w:r>
        <w:t>от 26 декабря N 507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Title"/>
        <w:jc w:val="center"/>
      </w:pPr>
      <w:bookmarkStart w:id="0" w:name="P33"/>
      <w:bookmarkEnd w:id="0"/>
      <w:r>
        <w:t>ОБ УТВЕРЖДЕНИИ ПОРЯДКА</w:t>
      </w:r>
    </w:p>
    <w:p w:rsidR="00542CDC" w:rsidRDefault="00542CD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42CDC" w:rsidRDefault="00542C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42CDC" w:rsidRDefault="00542CDC">
      <w:pPr>
        <w:pStyle w:val="ConsPlusTitle"/>
        <w:jc w:val="center"/>
      </w:pPr>
      <w:r>
        <w:t>ФЕДЕРАЛЬНОЙ СЛУЖБЫ ГОСУДАРСТВЕННОЙ СТАТИСТИКИ</w:t>
      </w:r>
    </w:p>
    <w:p w:rsidR="00542CDC" w:rsidRDefault="00542C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C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CDC" w:rsidRDefault="00542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CDC" w:rsidRDefault="00542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18.08.2015 N 377)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CDC" w:rsidRDefault="00542CDC">
            <w:pPr>
              <w:spacing w:after="1" w:line="0" w:lineRule="atLeast"/>
            </w:pPr>
          </w:p>
        </w:tc>
      </w:tr>
    </w:tbl>
    <w:p w:rsidR="00542CDC" w:rsidRDefault="00542CDC">
      <w:pPr>
        <w:pStyle w:val="ConsPlusNormal"/>
        <w:jc w:val="center"/>
      </w:pPr>
    </w:p>
    <w:p w:rsidR="00542CDC" w:rsidRDefault="00542CDC">
      <w:pPr>
        <w:pStyle w:val="ConsPlusNormal"/>
        <w:jc w:val="center"/>
        <w:outlineLvl w:val="1"/>
      </w:pPr>
      <w:r>
        <w:t>I. Общие положения</w:t>
      </w:r>
    </w:p>
    <w:p w:rsidR="00542CDC" w:rsidRDefault="00542CDC">
      <w:pPr>
        <w:pStyle w:val="ConsPlusNormal"/>
        <w:jc w:val="center"/>
      </w:pPr>
    </w:p>
    <w:p w:rsidR="00542CDC" w:rsidRDefault="00542CDC">
      <w:pPr>
        <w:pStyle w:val="ConsPlusNormal"/>
        <w:ind w:firstLine="540"/>
        <w:jc w:val="both"/>
      </w:pPr>
      <w:r>
        <w:t xml:space="preserve">1. Настоящий Порядок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2009 г. N </w:t>
      </w:r>
      <w:r>
        <w:lastRenderedPageBreak/>
        <w:t>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542CDC" w:rsidRDefault="00542CDC">
      <w:pPr>
        <w:pStyle w:val="ConsPlusNormal"/>
        <w:jc w:val="center"/>
      </w:pPr>
      <w:r>
        <w:t>нормативных правовых актов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  <w: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6. Задачами Мониторинга являются: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- своевременное выявление в нормативных правовых актах коррупциогенных факторов;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- устранение выявленных коррупциогенных факторов.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7. Мониторинг проводится управлениями Росстата в соответствии с их компетенцией.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8. При Мониторинге осуществляется: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а) сбор информации о практике применения нормативных правовых актов;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б) непрерывное наблюдение за применением нормативных правовых актов;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9. В случае если, по мнению управления Росстата, в нормативных правовых актах содержатся коррупциогенные факторы, такое управление Росстата в течение трех рабочих дней направляет: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нормативный правовой акт и информацию об этом на официальный сайт Росстата в сети "Интернет" www.gks.ru.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 xml:space="preserve">10. По результатам проведенной в соответствии с </w:t>
      </w:r>
      <w:hyperlink w:anchor="P77" w:history="1">
        <w:r>
          <w:rPr>
            <w:color w:val="0000FF"/>
          </w:rPr>
          <w:t>главой III</w:t>
        </w:r>
      </w:hyperlink>
      <w:r>
        <w:t xml:space="preserve"> настоящего Порядка </w:t>
      </w:r>
      <w:r>
        <w:lastRenderedPageBreak/>
        <w:t>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коррупциогенных факторов, которое направляется руководителю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В случае если, по мнению юридической службы Росстата, в нормативных правовых актах отсутствуют коррупциогенные факторы, такие сведения отражаются в заключении.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11. При выявлении коррупциогенных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разработку соответствующему управлению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согласовывается с юридической службой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jc w:val="center"/>
      </w:pPr>
    </w:p>
    <w:p w:rsidR="00542CDC" w:rsidRDefault="00542CDC">
      <w:pPr>
        <w:pStyle w:val="ConsPlusNormal"/>
        <w:jc w:val="center"/>
        <w:outlineLvl w:val="1"/>
      </w:pPr>
      <w:bookmarkStart w:id="1" w:name="P77"/>
      <w:bookmarkEnd w:id="1"/>
      <w:r>
        <w:t>III. Порядок проведения антикоррупционной экспертизы</w:t>
      </w:r>
    </w:p>
    <w:p w:rsidR="00542CDC" w:rsidRDefault="00542CDC">
      <w:pPr>
        <w:pStyle w:val="ConsPlusNormal"/>
        <w:jc w:val="center"/>
      </w:pPr>
      <w:r>
        <w:t>проектов нормативных правовых актов</w:t>
      </w:r>
    </w:p>
    <w:p w:rsidR="00542CDC" w:rsidRDefault="00542CDC">
      <w:pPr>
        <w:pStyle w:val="ConsPlusNormal"/>
        <w:jc w:val="center"/>
      </w:pPr>
    </w:p>
    <w:p w:rsidR="00542CDC" w:rsidRDefault="00542CDC">
      <w:pPr>
        <w:pStyle w:val="ConsPlusNormal"/>
        <w:ind w:firstLine="540"/>
        <w:jc w:val="both"/>
      </w:pPr>
      <w: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542CDC" w:rsidRDefault="00542CDC">
      <w:pPr>
        <w:pStyle w:val="ConsPlusNormal"/>
        <w:jc w:val="both"/>
      </w:pPr>
      <w:r>
        <w:t xml:space="preserve">(п. 15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16. 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Проект указанного нормативного правового акта размещается на сайте regulation.gov.ru в сети Интернет не менее чем на 7 дней.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</w:t>
      </w:r>
      <w:r>
        <w:lastRenderedPageBreak/>
        <w:t>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542CDC" w:rsidRDefault="00542CDC">
      <w:pPr>
        <w:pStyle w:val="ConsPlusNormal"/>
        <w:jc w:val="both"/>
      </w:pPr>
      <w:r>
        <w:t xml:space="preserve">(п. 16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В заключении отражаются коррупциогенные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 xml:space="preserve">19. Заключение, указанное в </w:t>
      </w:r>
      <w:hyperlink w:anchor="P90" w:history="1">
        <w:r>
          <w:rPr>
            <w:color w:val="0000FF"/>
          </w:rPr>
          <w:t>пункте 18</w:t>
        </w:r>
      </w:hyperlink>
      <w: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spacing w:before="220"/>
        <w:ind w:firstLine="540"/>
        <w:jc w:val="both"/>
      </w:pPr>
      <w:r>
        <w:t>20. В случае если, по мнению юридической службы Росстата, в проектах нормативных правовых актов отсутствуют коррупциогенные факторы, в заключении отражаются указанные сведения.</w:t>
      </w:r>
    </w:p>
    <w:p w:rsidR="00542CDC" w:rsidRDefault="00542C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Росстата от 18.08.2015 N 377)</w:t>
      </w: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ind w:firstLine="540"/>
        <w:jc w:val="both"/>
      </w:pPr>
    </w:p>
    <w:p w:rsidR="00542CDC" w:rsidRDefault="0054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3" w:name="_GoBack"/>
      <w:bookmarkEnd w:id="3"/>
    </w:p>
    <w:sectPr w:rsidR="00683E99" w:rsidSect="00A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DC"/>
    <w:rsid w:val="00542CDC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542CD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542CD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54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542CD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542CD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54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0A5DCCF8A13362D1AC5BCCA1A16670FA1A263F10CA43F1A1D5DE4F300B38B435F4A0C499A41D7h027E" TargetMode="External"/><Relationship Id="rId13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18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0400B4530E30CF72F10C742197F56977B0A5DCCF8A13362D1AC5BCCA1A16670FA1A263F10CA43E181D5DE4F300B38B435F4A0C499A41D7h027E" TargetMode="External"/><Relationship Id="rId7" Type="http://schemas.openxmlformats.org/officeDocument/2006/relationships/hyperlink" Target="consultantplus://offline/ref=940400B4530E30CF72F10C742197F56975B8A8DDC68D13362D1AC5BCCA1A16670FA1A263F10CA43D1E1D5DE4F300B38B435F4A0C499A41D7h027E" TargetMode="External"/><Relationship Id="rId12" Type="http://schemas.openxmlformats.org/officeDocument/2006/relationships/hyperlink" Target="consultantplus://offline/ref=940400B4530E30CF72F10C742197F56977B0A5DCCF8A13362D1AC5BCCA1A16670FA1A263F10CA43E151D5DE4F300B38B435F4A0C499A41D7h027E" TargetMode="External"/><Relationship Id="rId17" Type="http://schemas.openxmlformats.org/officeDocument/2006/relationships/hyperlink" Target="consultantplus://offline/ref=940400B4530E30CF72F10C742197F56977B0A5DCCF8A13362D1AC5BCCA1A16670FA1A263F10CA43E151D5DE4F300B38B435F4A0C499A41D7h027E" TargetMode="External"/><Relationship Id="rId25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20" Type="http://schemas.openxmlformats.org/officeDocument/2006/relationships/hyperlink" Target="consultantplus://offline/ref=940400B4530E30CF72F10C742197F56977B0A5DCCF8A13362D1AC5BCCA1A16670FA1A263F10CA43E1E1D5DE4F300B38B435F4A0C499A41D7h02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00B4530E30CF72F10C742197F56977B0A5DCCF8A13362D1AC5BCCA1A16670FA1A263F10CA43F1A1D5DE4F300B38B435F4A0C499A41D7h027E" TargetMode="External"/><Relationship Id="rId11" Type="http://schemas.openxmlformats.org/officeDocument/2006/relationships/hyperlink" Target="consultantplus://offline/ref=940400B4530E30CF72F10C742197F56977B0A5DCCF8A13362D1AC5BCCA1A16670FA1A263F10CA43E151D5DE4F300B38B435F4A0C499A41D7h027E" TargetMode="External"/><Relationship Id="rId24" Type="http://schemas.openxmlformats.org/officeDocument/2006/relationships/hyperlink" Target="consultantplus://offline/ref=940400B4530E30CF72F10C742197F56977B0A5DCCF8A13362D1AC5BCCA1A16670FA1A263F10CA43E151D5DE4F300B38B435F4A0C499A41D7h02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23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10" Type="http://schemas.openxmlformats.org/officeDocument/2006/relationships/hyperlink" Target="consultantplus://offline/ref=940400B4530E30CF72F10C742197F56977B0A5DCCF8A13362D1AC5BCCA1A16670FA1A263F10CA43E151D5DE4F300B38B435F4A0C499A41D7h027E" TargetMode="External"/><Relationship Id="rId19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400B4530E30CF72F10C742197F56975B8A8DDC68D13362D1AC5BCCA1A16670FA1A263F10CA43D1E1D5DE4F300B38B435F4A0C499A41D7h027E" TargetMode="External"/><Relationship Id="rId14" Type="http://schemas.openxmlformats.org/officeDocument/2006/relationships/hyperlink" Target="consultantplus://offline/ref=940400B4530E30CF72F10C742197F56977B0A5DCCF8A13362D1AC5BCCA1A16670FA1A263F10CA43E1D1D5DE4F300B38B435F4A0C499A41D7h027E" TargetMode="External"/><Relationship Id="rId22" Type="http://schemas.openxmlformats.org/officeDocument/2006/relationships/hyperlink" Target="consultantplus://offline/ref=940400B4530E30CF72F10C742197F56977B0A5DCCF8A13362D1AC5BCCA1A16670FA1A263F10CA43D1C1D5DE4F300B38B435F4A0C499A41D7h02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2022-05-05T04:54:00Z</dcterms:created>
  <dcterms:modified xsi:type="dcterms:W3CDTF">2022-05-05T04:55:00Z</dcterms:modified>
</cp:coreProperties>
</file>